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24</w:t>
      </w:r>
    </w:p>
    <w:p>
      <w:r>
        <w:t>Bundesgericht (BGE), 1966-03-02, FR</w:t>
      </w:r>
    </w:p>
    <w:p>
      <w:r>
        <w:rPr>
          <w:b/>
        </w:rPr>
        <w:t xml:space="preserve">Quelle: </w:t>
      </w:r>
      <w:r>
        <w:t>https://mcp.opencaselaw.ch/entscheid/bge_92 I 24</w:t>
      </w:r>
    </w:p>
    <w:p>
      <w:r>
        <w:t>FR: ATF 92 I 24</w:t>
      </w:r>
    </w:p>
    <w:p>
      <w:r>
        <w:t>IT: DTF 92 I 24</w:t>
      </w:r>
    </w:p>
    <w:p>
      <w:pPr>
        <w:pStyle w:val="Heading2"/>
      </w:pPr>
      <w:r>
        <w:t>Regeste</w:t>
      </w:r>
    </w:p>
    <w:p>
      <w:r>
        <w:t>Regeste 1. Legitimation eines idealen Vereins zur staatsrechtlichen Beschwerde gegen einen Entscheid, der seine statutarische Tätigkeit behindert; Zulässigkeit der Beschwerde trotz Fehlens eines aktuellen praktischen Interesses (Erw. 1). 2. Fehlen eines kantonalen Rechtsmittels zur Anfechtung eines Erlasses der vollziehenden Behörde (Erw. 2). 3. Darf das Bundesgericht die materielle Prüfung einer staatsrechtlichen Beschwerde ablehnen, weil die Beschwerde als missbräuchlich erscheint? Frage offen gelassen, da die vorliegende Beschwerde nicht missbräuchlich ist (Erw. 3). 4. Unzulässigkeit von Begehren, die sich nicht auf den angefochtenen Entscheid, sondern auf Ausführungsmassnahmen beziehen, oder auf Feststellung einer Rechtslage gerichtet sind (Erw. 4). 5. Die zuständige Behörde darf, auf Grund ihrer allgemeinen Polizeigewalt, die verfassungsmässigen Freiheitsrechte beschränken, z.B. den Veranstaltern einer Kundgebung ein bestimmtes Gebiet für diese vorschreiben zur Vermeidung von Zusammenstössen mit der Bevölkerung eines Dorfes oder mit Teilnehmern einer andern, in der Nachbarschaft veranstalteten Kundgebung (Erw. 5 und 6). 6. Verhältnismässigkeit der auf die allgemeine Polizeigewalt gestützten Massnahmen (Erw. 7). 7. Die vollziehende Behörde ist befugt, Strafen festzusetzen für den Fall der Übertretung von Vorschriften, die sie auf Grund ihrer allgemeinen Polizeigewalt erlässt (Erw. 8).</w:t>
      </w:r>
    </w:p>
    <w:p>
      <w:pPr>
        <w:pStyle w:val="Heading2"/>
      </w:pPr>
      <w:r>
        <w:t>Erwägungen</w:t>
      </w:r>
    </w:p>
    <w:p>
      <w:r>
        <w:rPr>
          <w:b/>
        </w:rPr>
        <w:t>E. 1</w:t>
      </w:r>
    </w:p>
    <w:p>
      <w:r>
        <w:t>Le recourant est une association à but idéal. L'arrêté attaqué l'a entravé dans son activité statutaire. Il allègue qu'un certain nombre de libertés individuelles qui lui sont garanties par la constitution ont été violées à son préjudice. Il a dès lors qualité pour agir ( art. 88 OJ ; RO 91 I 1931ettre c et 325/6). Peu importe qu'il se soit conformé à l'arrêté attaqué. S'il voulait tenir la manifestation prévue tout en demeurant dans la légalité, il n'avait pas d'autre issue. Il ne s'est pas pour autant privé du droit de plaider l'inconstitutionnalité des mesures prises à son égard. Certes, l'assemblée en vue de laquelle le Conseil-exécutif a pris l'arrêté attaqué a déjà eu lieu. Le recourant n'a donc plus l'intérêt actuel et pratique qui est en principe nécessaire pour recourir. Toutefois, la jurisprudence renonce à cette exigence lorsque le recours vise un acte dont le Tribunal fédéral ne pourrait sinon jamais revoir la constitutionnalité et qui peut se reproduire en tout temps (RO 91 I 326 consid. 1). Or ces conditions sont remplies en l'espèce. BGE 92 I 24 S. 30</w:t>
      </w:r>
    </w:p>
    <w:p>
      <w:r>
        <w:rPr>
          <w:b/>
        </w:rPr>
        <w:t>E. 2</w:t>
      </w:r>
    </w:p>
    <w:p>
      <w:r>
        <w:t>Sous réserve d'exceptions qui ne sont pas réalisées ici (art. 86 al. 2, 2e phrase, OJ), le recours de droit public pour violation de droits constitutionnels n'est recevable qu'après épuisement des moyens de droit cantonal (art. 86 al. 1 et 2, 1e phrase, et art. 87 OJ ). Constituent de tels moyens les voies de droit qui sont ouvertes au recourant lui-même afin de faire disparaître le préjudice juridique allégué et qui sont de nature à obliger l'autorité saisie à statuer (RO 88 I 153, 90 I 204 et 230). Le Rassemblement jurassien ne possédait aucun moyen de ce genre pour attaquer l'arrêté du 19 novembre 1965. Certes, le Conseil-exécutif devait le porter à la connaissance du Grand Conseil, qui avait le pouvoir de prendre "des dispositions ultérieures" ( art. 39 al. 2 Cst. bern.). Toutefois, cette communication n'incombait pas au recourant et ne requérait pas nécessairement des mesures du Grand Conseil. Les moyens de droit cantonal sont donc épuisés.</w:t>
      </w:r>
    </w:p>
    <w:p>
      <w:r>
        <w:rPr>
          <w:b/>
        </w:rPr>
        <w:t>E. 3</w:t>
      </w:r>
    </w:p>
    <w:p>
      <w:r>
        <w:t>Le Conseil-exécutif soutient que le présent recours, accompagné d'une publicité insolite, n'a été déposé que dans un but de propagande. Il en déduit qu'il est abusif et, partant, irrecevable. Point n'est besoin de décider aujourd'hui si le Tribunal fédéral peut refuser d'examiner le fond d'un recours de droit public qu'il considère comme abusif. Sans doute, le Rassemblement jurassien a fait publier le texte de son recours par la presse dans le dessein manifeste de stimuler ses adhérents et de gagner la sympathie d'autres milieux. Rien ne laisse supposer cependant qu'il se soit estimé battu d'avance et qu'il ait agi à seule fin de pouvoir, une fois débouté, se plaindre des insuffisances de l'ordre juridique ou de l'incompréhension des autorités judiciaires. Son recours ne saurait dès lors être considéré comme abusif.</w:t>
      </w:r>
    </w:p>
    <w:p>
      <w:r>
        <w:rPr>
          <w:b/>
        </w:rPr>
        <w:t>E. 4</w:t>
      </w:r>
    </w:p>
    <w:p>
      <w:r>
        <w:t>Le recourant demande au Tribunal fédéral de déclarer contraires à l'ordre public suisse certains "procédés utilisés par la police cantonale bernoise". Cette conclusion est irrecevable tout d'abord parce que le recours de droit public ne pcut viser qu'un arrêté ou une décision au sens de l' art. 84 OJ et non de simples actes d'exécution comme le sont les agissements de la police bernoise. Elle l'est aussi parce que, sous réserve d'exceptions qui ne sont pas réalisées ici, le recours de droit public permet de faire non pas constater une situation juridique, mais exclusivement annuler un arrêté ou une décision.</w:t>
      </w:r>
    </w:p>
    <w:p>
      <w:r>
        <w:rPr>
          <w:b/>
        </w:rPr>
        <w:t>E. 5</w:t>
      </w:r>
    </w:p>
    <w:p>
      <w:r>
        <w:t>L'une des missions essentielles de l'Etat est d'assurer BGE 92 I 24 S. 31 l'harmonie de la vie collective. Le développement harmonieux de la vie collective n'est possible que si règne l'ordre public. Il incombe dès lors à l'Etat d'assurer cet ordre. Toutefois, les atteintes à l'ordre public, par exemple aux institutions ellesmêmes, à l'activité de l'administration, aux libertés individuelles, à d'autres valeurs morales ou matérielles reconnues par la majorité des individus, peuvent revêtir des formes si diverses que le constituant ni le législateur ne sauraient les prévoir toutes. Ces atteintes doivent néanmoins pouvoir être empêchées ou réprimées, puisqu'elles compromettent la réalisation d'une tâche étatique fondamentale. C'est pour répondre à cette nécessité que la jurisprudence a forgé la clause générale de police. Au regard des considérations qui précèdent, celle-ci ni saurait, comme le recourant paraît vouloir le faire, être contestée dans son principe même. Elle a acquis aujourd'hui, tant en droit fédéral qu'en droit cantonal, la valeur d'un principe constitutionnel non écrit. Elle confère à l'autorité exécutive le droit, en vertu de son pouvoir général de police, c'est-à-dire sans base constitutionnelle ou légale expresse, de prendre les mesures indispensables pour rétablir l'ordre public s'il a été troublé, ou pour le préserver d'un danger sérieux qui le menace d'une façon directe et imminente (RO 91 I 327). En se fondant sur elle, l'autorité peut notamment limiter l'exercice des libertés individuelles. Une jurisprudence constante et déjà ancienne lui a reconnu ce pouvoir en ce qui concerne par exemple la liberté d'association (RO 60 I 209 et 353, 61 I 39 et 269), la liberté de réunion (RO 55 I 235 ss., 57 I 272), la liberté de presse (RO 60 I 121 s.), la liberté du commerce et de l'industrie (RO 63 I 222, 67 I 76) et le droit de propriété (RO 20, p. 796, 35 I 148, 88 I 176) (voir en outre l'arrêt RO 91 I 326/327). Dans son ensemble, la doctrine suisse admet aussi la validité de la clause générale de police (FLEINER, Schw. Bundesstaatsrecht, p. 321; MÜLLER, Über Präventivpolizei, p. 91; RUCK, Schw. Verwaltungsrecht, p. 46 ss.; VOIGT, Der liberale Polizeibegriff und seine Schranken in der bundesgerichtlichen Judikatur, p. 48; plus réservé H. HUBER dans ZBl vol. 33, p. 238). Seul GIACOMETTI paraît avoir eu, à un moment donné, une opinion contraire (Schw. Bundesstaatsrecht, p. 384, spéc. note 52, et p. 247, spéc. note 37). Aujourd'hui cependant, il semble se rallier à l'opinion dominante, qu'il avait du reste BGE 92 I 24 S. 32 autrefois professée (Allg. Lehren, p. 282, spéc. note 32; Staatsrecht der schw. Kantone, p. 176, note 47). Les avis divergent davantage lorsqu'il s'agit de savoir si l'autorité exécutive peut fonder sur la clause de police non seulement des décisions d'espèce, mais aussi des ordonnances (en faveur du pouvoir large: MARTI, Das Verordnungsrecht des Bundesrates, p. 111 ss.; MOSER, Die Verordnung des Bundesrates, p. 60 ss.; SCHINDLER, RSJ vol. 31, p. 305 ss.; contra: GIACOMETTI, Staatsrecht der schw. Kantone, p. 503 ss., Schw. Bundesstaatsrecht, p. 791 ss., RSJ vol. 31, p. 257 ss., 369 ss.). Pour sa part, le Tribunal fédéral l'a admis une fois au moins (RO 64 I 370 ss.). Point n'est besoin de décider aujourd'hui si cette jurisprudence doit être maintenue. En effet, l'arrêté attaqué ne constituait pas une ordonnance, c'est-à-dire un ensemble de règles à la fois générales et abstraites. Même s'il visait un nombre indéterminé de personnes, il s'est appliqué dans un cas concret. Il se caractérise dès lors comme une décision, d'une espèce particulière il est vrai, mais qui diffère d'une ordonnance au sens précisé ci-dessus. La clause générale de police s'est également imposée à l'étranger. A ce sujet, le droit allemand se rapproche des conceptions helvétiques, qu'il a manifestement influencées (cf. l'ouvrage classique de DREWS-WACKE, Allgemeines Polizeirecht, spéc. p. 10). En France, non seulement les traités de droit administratif admettent l'existence de la police générale, dont la définition s'apparente à celle de la clause générale de police (DUEZ et DEBEYRE, nos 736 ss.; LAUBADERE, nos 1005 ss.; WALINE, 8e éd., nos 1019 ss.), mais le Conseil d'Etat applique fréquemment la même notion, d'une façon plus ou moins libérale suivant les circonstances (LONG, WEIL et BRAIBANT, Les Grands arrêts de la jurisprudence administrative, 4e éd., spéc. p. 212 ss.). En définitive, l'étude de la doctrine suisse et étrangère plaide pour le maintien de la jurisprudence fédérale. Il ne se justifie pas d'y déroger dans le cas particulier en vertu de l' art. 111 Cst. cant., qui proscrit les lois, ordonnances, décrets et arrêtés inconstitutionnels. La clause générale de police est un principe constitutionnel qui limite valablement les libertés garanties par la constitution. Dès lors, l'arrêté attaqué n'aura violé aucun droit constitutionnel dans la mesure où il pourra s'appuyer sur cette clause. BGE 92 I 24 S. 33</w:t>
      </w:r>
    </w:p>
    <w:p>
      <w:r>
        <w:rPr>
          <w:b/>
        </w:rPr>
        <w:t>E. 6</w:t>
      </w:r>
    </w:p>
    <w:p>
      <w:r>
        <w:t>Pour décider si le Conseil-exécutif était fondé, en vertu de son pouvoir général de police, à prendre l'arrêté attaqué, il faut déterminer si l'assemblée que le recourant se proposait de réunir à Courtelary le 21 novembre 1965 menaçait l'ordre public d'un danger sérieux, de façon directe et imminente. A cet égard, la Cour de céans ne reverra qu'avec retenue les constatations de fait de l'arrêté attaqué. En revanche, elle examinera librement les questions de droit (cf. RO 23 II 1498 ss.). Se fondant sur les demandes d'intervention que lui avaient adressées les autorités de Courtelary et de St-Imier, le Conseilexécutif invoque premièrement "le danger de collisions entre les membres du Rassemblement jurassien et des organisations qui lui sont affiliées, d'une part, et les citoyens de la commune de Courtelary", d'autre part. Sur cette question de fait, le Tribunal fédéral n'a aucune raison de s'écarter de la manière de voir de l'autorité cantonale. La manifestation qui devait avoir lieu le 21 novembre 1965 à Courtelary était en réalité une contre-manifestation. Si le Rassemblement jurassien voulait protester contre la politique financière du canton de Berne, il entendait aussi et surtout témoigner sa réprobation à ceux qui s'assemblaient le même jour à St-Imier. Le communiqué et l'appel mentionnés sous lettre B ci-dessus en sont la preuve éclatante. Dès lors, les adversaires du recourant devaient se sentir directement visés par le projet d'une réunion à Courtelary. Le risque qu'elle ne fût troublée par les habitants de la localité paraissait d'autant plus grave que, selon les déclarations du président de commune, une grande partie d'entre eux ne sont pas acquis au mouvement séparatiste. Dans ces circonstances, les appréhensions émises par le Conseil municipal de Courtelary, puis partagées par le Conseil-exécutif au sujet d'un affrontement entre les séparatistes et la population du village n'étaient pas vaines. Qu'elles s'inspirent de raisons électorales ou autres, elles n'en sont pas affaiblies pour autant. L'arrêté attaqué fait état d'un second "danger de collision" entre les manifestants de St-Imier et de Courtelary. Le Tribunal fédéral n'a pas lieu non plus de mettre en doute cette considération, qui ressortit aussi au domaine des faits. Certes, St-Imier et Courtelary sont distants d'une dizaine de kilomètres. Toutefois, pour se rendre en automobile à la fête de St-Imier, les Jurassiens du Nord devaient pour la plupart franchir Courtelary. De même, pour gagner cette localité, les Suisses romands BGE 92 I 24 S. 34 que le recourant avait invités à sa réunion, auraient traversé en grand nombre St-Imier. D'où le risque de rencontres et, partant, de conflits entre adversaires. Le recourant est d'autant plus mal venu à sous-estimer cette menace que, dans son appel, il avait recommandé à ses partisans de passer "en voiture, par La Ferrière et St-Imier, pour montrer l'emblème du Jura aux Bernois et valets de Berne présents en ce lieu". Nul ne saurait affirmer que les antiséparatistes assemblés à St-Imier eussent assisté sans réagir à des comportements qu'ils auraient pu tenir pour provocateurs. Les dangers redoutés paraissaient d'autant plus sérieux que le Rassemblement jurassien avait omis de répondre aux questions que le président du Conseil-exécutif lui avait posées par lettre le 16 novembre 1965. Même si, en principe, les assemblées publiques ne sont pas soumises à autorisation dans le canton de Berne, il n'en est pas moins vrai qu'à l'annonce de la réunion de Courtelary, soit en face d'une situation alarmante, le Conseilexécutif était fondé à se renseigner sur les intentions des organisateurs. Le recourant devait s'en rendre compte et fournir les indications qui lui étaient demandées, sous peine de faire naître des soupçons justifiés. Il ne pouvait se contenter d'adresser à l'Office cantonal de la circulation routière une lettre que celui-ci n'était pas tenu de transmettre au Conseilexécutif. En présence de cet état de choses, l'autorité cantonale craignait avec raison que, si les partisans du Rassemblement jurassien se réunissaient à Courtelary et ceux de l'Union des patriotes jurassiens à St-Imier, les uns et les autres ne se heurtent sur la voie publique et que des actes de violence ne s'ensuivent. Un risque de ce genre est un des plus graves auxquels l'ordre public puisse être exposé. D'autre part, vu la tension qu'avait créée l'annonce des deux manifestations simultanées, la menace était directe et imminente. Dès lors, toutes les conditions d'application de la clause générale de police étant remplies, l'arrêté attaqué l'invoque à juste titre. Le recourant ne saurait objecter que, jusqu'à présent, ses membres se sont, selon lui, toujours assemblés paisiblement. Une manifestation qui groupe les adhérents d'une même cause est évidemment moins dangereuse pour l'ordre public que la réunion d'adversaires dans des localités voisines où ils ont l'occasion d'entrer en contact (RO 91 I 329). BGE 92 I 24 S. 35</w:t>
      </w:r>
    </w:p>
    <w:p>
      <w:r>
        <w:rPr>
          <w:b/>
        </w:rPr>
        <w:t>E. 7</w:t>
      </w:r>
    </w:p>
    <w:p>
      <w:r>
        <w:t>Pour que les mesures incriminées se justifient, il ne suffit pas qu'elles se fondent à bon droit sur la clause générale de police. Encore faut-il qu'elles obéissent au principe de proportionnalité, c'est-à-dire qu'elles ne dépassent pas le but visé (RO 91 I 327). Elles satisfont cependant à cette exigence. Certes, au lieu d'obliger le recourant à déplacer sa manifestation, le Conseil-exécutif aurait pu en tolérer le maintien et prendre les dispositions nécessaires au respect de l'ordre public. Toutefois, l'intérêt du recourant à tenir sa réunion à Courtelary plutôt que dans une autre localité ne motivait pas la mobilisation des forces considérables qui eussent prévenu tout risque de trouble en l'occurrence. Au reste, il n'y a pas lieu de se demander si, dans l'exécution de l'arrêté attaqué, la police bernoise a observé ou non le principe de proportionnalité. Il ressort du considérant 4 que cette question échappe à la connaissance du Tribunal fédéral dans la présente procédure.</w:t>
      </w:r>
    </w:p>
    <w:p>
      <w:r>
        <w:rPr>
          <w:b/>
        </w:rPr>
        <w:t>E. 8</w:t>
      </w:r>
    </w:p>
    <w:p>
      <w:r>
        <w:t>Enfin, le recourant reproche à tort au Conseil-exécutif d'avoir menacé de l'amende ou des arrêts les contrevenants à l'arrêté attaqué, en prévoyant la possibilité de cumuler ces peines (art. 4). L' art. 335 ch. 1 CP attribue aux cantons "le pouvoir de Iégiférer sur les contraventions de police qui ne sont pas l'objet de la législation fédérale", et celui "d'édicter des peines pour les contraventions aux prescriptions cantonales d'administration et de procédure". En vertu de ce texte, les cantons sont notamment compétents pour réprimer l'organisation d'une réunion de nature à troubler l'ordre public (HAFTER, RDS, 1940 p. 27 a ss.; PANCHAUD, eodem loco, p. 65 a s. et 75 a s.). Or il n'y a aucune raison de contester à l'autorité exécutive qui se fonde sur la clause générale de police et se substitue ainsi au législateur, le pouvoir de prendre les dispositions dont le Code pénal réserve l'adoption aux cantons. On ne saurait lui reconnaître la faculté d'ordonner des mesures et lui refuser celle d'en assurer l'efficacité. En tout cas, rien n'empêchait le Conseil-exécutif d'édicter des sanctions qui caractérisent les contraventions (cf. RO 86 IV 74). Ce qu'il convient simplement d'ajouter, c'est qu'il ne pouvait déduire sa compétence de l' art. 292 CP , qui s'applique aux décisions signifiées à des individus déterminés (RO 78 IV 238 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